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49173AEB"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112</w:t>
      </w:r>
      <w:r w:rsidR="00473F3F">
        <w:rPr>
          <w:rFonts w:ascii="Arial" w:eastAsia="宋体" w:hAnsi="Arial" w:cs="Arial"/>
          <w:b/>
          <w:bCs/>
          <w:sz w:val="24"/>
          <w:szCs w:val="24"/>
          <w:lang w:eastAsia="zh-CN"/>
        </w:rPr>
        <w:t>bis</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5E2EFA" w:rsidRPr="005E2EFA">
        <w:rPr>
          <w:rFonts w:ascii="Arial" w:eastAsia="宋体" w:hAnsi="Arial" w:cs="Arial"/>
          <w:b/>
          <w:bCs/>
          <w:sz w:val="24"/>
          <w:szCs w:val="24"/>
          <w:lang w:eastAsia="zh-CN"/>
        </w:rPr>
        <w:t>R4-2414932</w:t>
      </w:r>
    </w:p>
    <w:p w14:paraId="2A937F49" w14:textId="0D1618B4" w:rsidR="002827D2" w:rsidRDefault="00473F3F" w:rsidP="002827D2">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Hefei</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China</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1</w:t>
      </w:r>
      <w:r>
        <w:rPr>
          <w:rFonts w:ascii="Arial" w:eastAsia="宋体" w:hAnsi="Arial" w:cs="Arial"/>
          <w:b/>
          <w:bCs/>
          <w:sz w:val="24"/>
          <w:szCs w:val="24"/>
          <w:lang w:eastAsia="zh-CN"/>
        </w:rPr>
        <w:t>4</w:t>
      </w:r>
      <w:r w:rsidR="002827D2" w:rsidRPr="002827D2">
        <w:rPr>
          <w:rFonts w:ascii="Arial" w:eastAsia="宋体" w:hAnsi="Arial" w:cs="Arial"/>
          <w:b/>
          <w:bCs/>
          <w:sz w:val="24"/>
          <w:szCs w:val="24"/>
          <w:lang w:eastAsia="zh-CN"/>
        </w:rPr>
        <w:t xml:space="preserve"> –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18</w:t>
      </w:r>
      <w:r w:rsidR="002827D2" w:rsidRPr="002827D2">
        <w:rPr>
          <w:rFonts w:ascii="Arial" w:eastAsia="宋体" w:hAnsi="Arial" w:cs="Arial"/>
          <w:b/>
          <w:bCs/>
          <w:sz w:val="24"/>
          <w:szCs w:val="24"/>
          <w:lang w:eastAsia="zh-CN"/>
        </w:rPr>
        <w:t xml:space="preserve">, 2024 </w:t>
      </w:r>
    </w:p>
    <w:p w14:paraId="14204C4C" w14:textId="6F4CF94F"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D068E2" w:rsidRPr="005E2EFA">
        <w:rPr>
          <w:rFonts w:ascii="Arial" w:hAnsi="Arial"/>
          <w:sz w:val="24"/>
        </w:rPr>
        <w:t>6</w:t>
      </w:r>
      <w:r w:rsidR="007D6186" w:rsidRPr="005E2EFA">
        <w:rPr>
          <w:rFonts w:ascii="Arial" w:hAnsi="Arial"/>
          <w:sz w:val="24"/>
        </w:rPr>
        <w:t>.1</w:t>
      </w:r>
      <w:r w:rsidR="00CE1CE6" w:rsidRPr="005E2EFA">
        <w:rPr>
          <w:rFonts w:ascii="Arial" w:hAnsi="Arial"/>
          <w:sz w:val="24"/>
        </w:rPr>
        <w:t>8</w:t>
      </w:r>
      <w:r w:rsidR="007D6186" w:rsidRPr="005E2EFA">
        <w:rPr>
          <w:rFonts w:ascii="Arial" w:hAnsi="Arial"/>
          <w:sz w:val="24"/>
        </w:rPr>
        <w:t>.</w:t>
      </w:r>
      <w:r w:rsidR="00CE1CE6" w:rsidRPr="005E2EFA">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F77A6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E1CE6" w:rsidRPr="00CE1CE6">
        <w:rPr>
          <w:rFonts w:ascii="Arial" w:hAnsi="Arial"/>
          <w:sz w:val="24"/>
        </w:rPr>
        <w:t>Discussion on testability and interoperability of AI mobility</w:t>
      </w:r>
      <w:r w:rsidR="0064246B" w:rsidRPr="00CE1CE6">
        <w:rPr>
          <w:rFonts w:ascii="Arial" w:hAnsi="Arial"/>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133BCA6" w:rsidR="00956AAF"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TableGrid"/>
        <w:tblW w:w="0" w:type="auto"/>
        <w:tblLook w:val="04A0" w:firstRow="1" w:lastRow="0" w:firstColumn="1" w:lastColumn="0" w:noHBand="0" w:noVBand="1"/>
      </w:tblPr>
      <w:tblGrid>
        <w:gridCol w:w="9629"/>
      </w:tblGrid>
      <w:tr w:rsidR="00CE1CE6" w14:paraId="3C7FF4B8" w14:textId="77777777" w:rsidTr="00CE1CE6">
        <w:tc>
          <w:tcPr>
            <w:tcW w:w="9629" w:type="dxa"/>
          </w:tcPr>
          <w:p w14:paraId="403B42D6" w14:textId="068BE109" w:rsidR="00CE1CE6"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3F44C447" wp14:editId="005665AC">
                  <wp:extent cx="5498275" cy="181792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1ECB0ADC" w14:textId="70E5E628" w:rsidR="00CE1CE6" w:rsidRDefault="00CE1CE6" w:rsidP="001E6398">
      <w:pPr>
        <w:pStyle w:val="Default"/>
        <w:jc w:val="both"/>
        <w:rPr>
          <w:rFonts w:ascii="Times New Roman" w:eastAsia="宋体" w:hAnsi="Times New Roman" w:cs="Times New Roman"/>
          <w:color w:val="auto"/>
          <w:sz w:val="20"/>
          <w:szCs w:val="20"/>
          <w:lang w:val="en-GB"/>
        </w:rPr>
      </w:pPr>
    </w:p>
    <w:p w14:paraId="3B917FF0" w14:textId="73032B0A" w:rsidR="00CE1CE6" w:rsidRPr="00CE1CE6" w:rsidRDefault="00CE1CE6"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hint="eastAsia"/>
          <w:color w:val="auto"/>
          <w:sz w:val="20"/>
          <w:szCs w:val="20"/>
          <w:lang w:val="en-GB"/>
        </w:rPr>
        <w:t>I</w:t>
      </w:r>
      <w:r>
        <w:rPr>
          <w:rFonts w:ascii="Times New Roman" w:eastAsia="宋体" w:hAnsi="Times New Roman" w:cs="Times New Roman"/>
          <w:color w:val="auto"/>
          <w:sz w:val="20"/>
          <w:szCs w:val="20"/>
          <w:lang w:val="en-GB"/>
        </w:rPr>
        <w:t xml:space="preserve">n this contribution, we would like to discuss the </w:t>
      </w:r>
      <w:r w:rsidRPr="00CE1CE6">
        <w:rPr>
          <w:rFonts w:ascii="Times New Roman" w:eastAsia="宋体" w:hAnsi="Times New Roman" w:cs="Times New Roman"/>
          <w:color w:val="auto"/>
          <w:sz w:val="20"/>
          <w:szCs w:val="20"/>
          <w:lang w:val="en-GB"/>
        </w:rPr>
        <w:t>testability and interoperability of AIML mobility</w:t>
      </w:r>
      <w:r w:rsidR="00C3740A">
        <w:rPr>
          <w:rFonts w:ascii="Times New Roman" w:eastAsia="宋体" w:hAnsi="Times New Roman" w:cs="Times New Roman"/>
          <w:color w:val="auto"/>
          <w:sz w:val="20"/>
          <w:szCs w:val="20"/>
          <w:lang w:val="en-GB"/>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4E5AFF2F" w14:textId="56940825" w:rsidR="004D403E" w:rsidRPr="00D26C0A" w:rsidRDefault="00D26C0A" w:rsidP="00473F3F">
      <w:r w:rsidRPr="00D955CB">
        <w:t>In the SID</w:t>
      </w:r>
      <w:r>
        <w:t xml:space="preserve"> </w:t>
      </w:r>
      <w:r>
        <w:fldChar w:fldCharType="begin"/>
      </w:r>
      <w:r>
        <w:instrText xml:space="preserve"> REF _Ref177382897 \r \h </w:instrText>
      </w:r>
      <w:r>
        <w:fldChar w:fldCharType="separate"/>
      </w:r>
      <w:r>
        <w:t>[1]</w:t>
      </w:r>
      <w:r>
        <w:fldChar w:fldCharType="end"/>
      </w:r>
      <w:r w:rsidRPr="00D955CB">
        <w:t xml:space="preserve">, TSG RAN identified the following </w:t>
      </w:r>
      <w:r>
        <w:t>use-cases to be considered and only one-sided model is in the scope.</w:t>
      </w:r>
    </w:p>
    <w:p w14:paraId="6B5A62EF" w14:textId="5B9723C7" w:rsidR="00D26C0A" w:rsidRPr="00D26C0A" w:rsidRDefault="00D26C0A" w:rsidP="00C3740A">
      <w:pPr>
        <w:widowControl w:val="0"/>
        <w:numPr>
          <w:ilvl w:val="0"/>
          <w:numId w:val="34"/>
        </w:numPr>
        <w:spacing w:after="0"/>
        <w:jc w:val="both"/>
        <w:rPr>
          <w:rFonts w:eastAsia="等线"/>
          <w:bCs/>
          <w:lang w:val="en-US"/>
        </w:rPr>
      </w:pPr>
      <w:r w:rsidRPr="00D26C0A">
        <w:rPr>
          <w:rFonts w:eastAsia="Calibri"/>
          <w:bCs/>
          <w:lang w:val="en-US"/>
        </w:rPr>
        <w:t xml:space="preserve">Cell-level measurement prediction including intra and inter-frequency (UE sided and NW sided model) </w:t>
      </w:r>
    </w:p>
    <w:p w14:paraId="05924BA3" w14:textId="504480F4" w:rsidR="00D26C0A" w:rsidRPr="00D26C0A" w:rsidRDefault="00D26C0A" w:rsidP="00C3740A">
      <w:pPr>
        <w:widowControl w:val="0"/>
        <w:numPr>
          <w:ilvl w:val="0"/>
          <w:numId w:val="34"/>
        </w:numPr>
        <w:spacing w:after="0"/>
        <w:jc w:val="both"/>
        <w:rPr>
          <w:bCs/>
          <w:lang w:val="en-US"/>
        </w:rPr>
      </w:pPr>
      <w:r w:rsidRPr="00D26C0A">
        <w:rPr>
          <w:rFonts w:eastAsia="Calibri"/>
          <w:bCs/>
          <w:lang w:val="en-US"/>
        </w:rPr>
        <w:t xml:space="preserve">HO failure/RLF prediction (UE sided model) </w:t>
      </w:r>
    </w:p>
    <w:p w14:paraId="586C5367" w14:textId="6F13ED8D" w:rsidR="00D26C0A" w:rsidRPr="00D26C0A" w:rsidRDefault="00D26C0A" w:rsidP="00C3740A">
      <w:pPr>
        <w:widowControl w:val="0"/>
        <w:numPr>
          <w:ilvl w:val="0"/>
          <w:numId w:val="34"/>
        </w:numPr>
        <w:spacing w:after="0"/>
        <w:jc w:val="both"/>
        <w:rPr>
          <w:bCs/>
          <w:lang w:val="en-US"/>
        </w:rPr>
      </w:pPr>
      <w:r w:rsidRPr="00D26C0A">
        <w:rPr>
          <w:rFonts w:eastAsia="Calibri"/>
          <w:bCs/>
          <w:lang w:val="en-US"/>
        </w:rPr>
        <w:t xml:space="preserve">Measurement events prediction (UE sided model) </w:t>
      </w:r>
    </w:p>
    <w:p w14:paraId="148F0BA2" w14:textId="77777777" w:rsidR="00D26C0A" w:rsidRDefault="00D26C0A" w:rsidP="00473F3F">
      <w:pPr>
        <w:rPr>
          <w:rFonts w:eastAsia="宋体"/>
          <w:lang w:val="en-US" w:eastAsia="zh-CN"/>
        </w:rPr>
      </w:pPr>
    </w:p>
    <w:p w14:paraId="7192019A" w14:textId="4526159C" w:rsidR="00517189" w:rsidRDefault="00517189" w:rsidP="00473F3F">
      <w:pPr>
        <w:rPr>
          <w:rFonts w:eastAsia="宋体"/>
          <w:lang w:val="en-US" w:eastAsia="zh-CN"/>
        </w:rPr>
      </w:pPr>
      <w:r>
        <w:rPr>
          <w:rFonts w:eastAsia="宋体" w:hint="eastAsia"/>
          <w:lang w:val="en-US" w:eastAsia="zh-CN"/>
        </w:rPr>
        <w:t>R</w:t>
      </w:r>
      <w:r>
        <w:rPr>
          <w:rFonts w:eastAsia="宋体"/>
          <w:lang w:val="en-US" w:eastAsia="zh-CN"/>
        </w:rPr>
        <w:t>egarding “testability”, the issues faced are similar for all the three use cases</w:t>
      </w:r>
      <w:r w:rsidR="00C3740A">
        <w:rPr>
          <w:rFonts w:eastAsia="宋体"/>
          <w:lang w:val="en-US" w:eastAsia="zh-CN"/>
        </w:rPr>
        <w:t xml:space="preserve">, but there </w:t>
      </w:r>
      <w:r w:rsidR="006D07BA">
        <w:rPr>
          <w:rFonts w:eastAsia="宋体"/>
          <w:lang w:val="en-US" w:eastAsia="zh-CN"/>
        </w:rPr>
        <w:t>are some</w:t>
      </w:r>
      <w:r w:rsidR="00C3740A">
        <w:rPr>
          <w:rFonts w:eastAsia="宋体"/>
          <w:lang w:val="en-US" w:eastAsia="zh-CN"/>
        </w:rPr>
        <w:t xml:space="preserve"> differences between FR1 and FR2 tests</w:t>
      </w:r>
      <w:r w:rsidR="006D07BA">
        <w:rPr>
          <w:rFonts w:eastAsia="宋体"/>
          <w:lang w:val="en-US" w:eastAsia="zh-CN"/>
        </w:rPr>
        <w:t xml:space="preserve"> due to OTA test is mandatory in FR2. As far as we know, both FR1 and FR2 are under evaluation in RAN2. </w:t>
      </w:r>
      <w:r w:rsidR="00C3740A">
        <w:rPr>
          <w:rFonts w:eastAsia="宋体"/>
          <w:lang w:val="en-US" w:eastAsia="zh-CN"/>
        </w:rPr>
        <w:t xml:space="preserve">As guided in the SID, duplicated study should be avoided from “AI/ML for NR air interface” in which testability issues are thoroughly discussed for FR2. In our understanding, </w:t>
      </w:r>
      <w:r w:rsidR="006D07BA">
        <w:rPr>
          <w:rFonts w:eastAsia="宋体"/>
          <w:lang w:val="en-US" w:eastAsia="zh-CN"/>
        </w:rPr>
        <w:t xml:space="preserve">most of </w:t>
      </w:r>
      <w:r w:rsidR="00C3740A">
        <w:rPr>
          <w:rFonts w:eastAsia="宋体"/>
          <w:lang w:val="en-US" w:eastAsia="zh-CN"/>
        </w:rPr>
        <w:t xml:space="preserve">the agreements there </w:t>
      </w:r>
      <w:r w:rsidR="006D07BA">
        <w:rPr>
          <w:rFonts w:eastAsia="宋体"/>
          <w:lang w:val="en-US" w:eastAsia="zh-CN"/>
        </w:rPr>
        <w:t>will</w:t>
      </w:r>
      <w:r w:rsidR="00C3740A">
        <w:rPr>
          <w:rFonts w:eastAsia="宋体"/>
          <w:lang w:val="en-US" w:eastAsia="zh-CN"/>
        </w:rPr>
        <w:t xml:space="preserve"> be </w:t>
      </w:r>
      <w:r w:rsidR="006D07BA">
        <w:rPr>
          <w:rFonts w:eastAsia="宋体"/>
          <w:lang w:val="en-US" w:eastAsia="zh-CN"/>
        </w:rPr>
        <w:t>applicable</w:t>
      </w:r>
      <w:r w:rsidR="00C3740A">
        <w:rPr>
          <w:rFonts w:eastAsia="宋体"/>
          <w:lang w:val="en-US" w:eastAsia="zh-CN"/>
        </w:rPr>
        <w:t xml:space="preserve"> here</w:t>
      </w:r>
      <w:r w:rsidR="006D07BA">
        <w:rPr>
          <w:rFonts w:eastAsia="宋体"/>
          <w:lang w:val="en-US" w:eastAsia="zh-CN"/>
        </w:rPr>
        <w:t>. In this SI, we can focus on the testability issues in FR1 and check if there is any more testability issue for FR2 after RAN4 conclud</w:t>
      </w:r>
      <w:r w:rsidR="005432D6">
        <w:rPr>
          <w:rFonts w:eastAsia="宋体"/>
          <w:lang w:val="en-US" w:eastAsia="zh-CN"/>
        </w:rPr>
        <w:t>ing</w:t>
      </w:r>
      <w:r w:rsidR="006D07BA">
        <w:rPr>
          <w:rFonts w:eastAsia="宋体"/>
          <w:lang w:val="en-US" w:eastAsia="zh-CN"/>
        </w:rPr>
        <w:t xml:space="preserve"> the testability issues in “AI/ML for NR air interface”. </w:t>
      </w:r>
    </w:p>
    <w:p w14:paraId="4570EACC" w14:textId="788C7E65" w:rsidR="006D07BA" w:rsidRDefault="006D07BA" w:rsidP="006D07BA">
      <w:pPr>
        <w:spacing w:after="0"/>
        <w:jc w:val="both"/>
        <w:rPr>
          <w:rFonts w:eastAsia="Times New Roman"/>
          <w:lang w:val="en-US"/>
        </w:rPr>
      </w:pPr>
      <w:r>
        <w:rPr>
          <w:rFonts w:eastAsia="Times New Roman"/>
          <w:b/>
          <w:bCs/>
          <w:u w:val="single"/>
          <w:lang w:val="en-US"/>
        </w:rPr>
        <w:t>Proposal 1</w:t>
      </w:r>
      <w:r>
        <w:rPr>
          <w:rFonts w:eastAsia="Times New Roman"/>
        </w:rPr>
        <w:t>:</w:t>
      </w:r>
      <w:r>
        <w:rPr>
          <w:rFonts w:eastAsia="宋体"/>
          <w:lang w:eastAsia="zh-CN"/>
        </w:rPr>
        <w:t xml:space="preserve"> F</w:t>
      </w:r>
      <w:r w:rsidRPr="006D07BA">
        <w:rPr>
          <w:rFonts w:eastAsia="宋体"/>
          <w:lang w:eastAsia="zh-CN"/>
        </w:rPr>
        <w:t>ocus on the testability issues in FR</w:t>
      </w:r>
      <w:r w:rsidR="005432D6">
        <w:rPr>
          <w:rFonts w:eastAsia="宋体"/>
          <w:lang w:eastAsia="zh-CN"/>
        </w:rPr>
        <w:t xml:space="preserve">1. </w:t>
      </w:r>
      <w:r w:rsidR="005432D6">
        <w:rPr>
          <w:rFonts w:eastAsia="宋体"/>
          <w:lang w:val="en-US" w:eastAsia="zh-CN"/>
        </w:rPr>
        <w:t>Check if there is any more testability issue for FR2 AI/ML mobility after RAN4 concluding the testability issues in “AI/ML for NR air interface”.</w:t>
      </w:r>
    </w:p>
    <w:p w14:paraId="33A52E69" w14:textId="77777777" w:rsidR="00DB57AB" w:rsidRDefault="00DB57AB" w:rsidP="006D07BA">
      <w:pPr>
        <w:rPr>
          <w:rFonts w:eastAsia="宋体"/>
          <w:lang w:val="en-US" w:eastAsia="zh-CN"/>
        </w:rPr>
      </w:pPr>
    </w:p>
    <w:p w14:paraId="3F6A63AC" w14:textId="31B32D6B" w:rsidR="006D07BA" w:rsidRDefault="00DB57AB" w:rsidP="006D07BA">
      <w:pPr>
        <w:rPr>
          <w:rFonts w:eastAsia="宋体"/>
          <w:lang w:val="en-US" w:eastAsia="zh-CN"/>
        </w:rPr>
      </w:pPr>
      <w:r>
        <w:rPr>
          <w:rFonts w:eastAsia="宋体"/>
          <w:lang w:val="en-US" w:eastAsia="zh-CN"/>
        </w:rPr>
        <w:t xml:space="preserve">In FR1, conductive test method is used in legacy. We don’t see any motivation to use OTA test for AI/ML mobility test in FR1. We propose to use conductive test method for AI/ML mobility test. As conductive test is already widely used in legacy, </w:t>
      </w:r>
      <w:r w:rsidRPr="00D57626">
        <w:rPr>
          <w:rFonts w:eastAsia="宋体"/>
          <w:lang w:val="en-US" w:eastAsia="zh-CN"/>
        </w:rPr>
        <w:t>and TE can adjust</w:t>
      </w:r>
      <w:r>
        <w:rPr>
          <w:rFonts w:eastAsia="宋体"/>
          <w:lang w:val="en-US" w:eastAsia="zh-CN"/>
        </w:rPr>
        <w:t xml:space="preserve"> </w:t>
      </w:r>
      <w:r w:rsidR="00D57626">
        <w:rPr>
          <w:rFonts w:eastAsia="宋体"/>
          <w:lang w:val="en-US" w:eastAsia="zh-CN"/>
        </w:rPr>
        <w:t xml:space="preserve">the transmit power to simulate the RSRP changes of the measured and predicted cell(s). </w:t>
      </w:r>
    </w:p>
    <w:p w14:paraId="2D84D348" w14:textId="642655CA" w:rsidR="00044E86" w:rsidRPr="00DB57AB" w:rsidRDefault="00DB57AB" w:rsidP="00044E86">
      <w:pPr>
        <w:rPr>
          <w:rFonts w:eastAsia="宋体"/>
          <w:lang w:val="en-US" w:eastAsia="zh-CN"/>
        </w:rPr>
      </w:pPr>
      <w:r>
        <w:rPr>
          <w:rFonts w:eastAsia="宋体"/>
          <w:lang w:val="en-US" w:eastAsia="zh-CN"/>
        </w:rPr>
        <w:t>In AI/ML BM, there are lots of discussions on how to get the ground truth as beamforming gain is unavailable. In FR1, using conductive test, ground truth (e.g., RSRP of each cell) is available at TE as legacy.</w:t>
      </w:r>
    </w:p>
    <w:p w14:paraId="7B9C0969" w14:textId="00507F90" w:rsidR="00DB57AB" w:rsidRDefault="00DB57AB" w:rsidP="00DB57AB">
      <w:pPr>
        <w:spacing w:after="0"/>
        <w:jc w:val="both"/>
      </w:pPr>
      <w:bookmarkStart w:id="2" w:name="_Hlk174105615"/>
      <w:r>
        <w:rPr>
          <w:rFonts w:eastAsia="Times New Roman"/>
          <w:b/>
          <w:bCs/>
          <w:u w:val="single"/>
          <w:lang w:val="en-US"/>
        </w:rPr>
        <w:t>Proposal 2</w:t>
      </w:r>
      <w:r>
        <w:rPr>
          <w:rFonts w:eastAsia="宋体"/>
          <w:lang w:val="en-US" w:eastAsia="zh-CN"/>
        </w:rPr>
        <w:t>: Use conductive test in FR1 for AI/ML mobility</w:t>
      </w:r>
      <w:r>
        <w:t>.</w:t>
      </w:r>
    </w:p>
    <w:p w14:paraId="7CC07D4C" w14:textId="77777777" w:rsidR="00DB57AB" w:rsidRDefault="00DB57AB" w:rsidP="00DB57AB">
      <w:pPr>
        <w:spacing w:after="0"/>
        <w:jc w:val="both"/>
      </w:pPr>
    </w:p>
    <w:p w14:paraId="5BAA3291" w14:textId="5D14ED7C" w:rsidR="00044E86" w:rsidRDefault="00044E86" w:rsidP="00044E86">
      <w:pPr>
        <w:spacing w:after="0"/>
        <w:jc w:val="both"/>
      </w:pPr>
      <w:r>
        <w:rPr>
          <w:rFonts w:eastAsia="Times New Roman"/>
          <w:b/>
          <w:bCs/>
          <w:u w:val="single"/>
          <w:lang w:val="en-US"/>
        </w:rPr>
        <w:t xml:space="preserve">Observation </w:t>
      </w:r>
      <w:r w:rsidR="00DB57AB">
        <w:rPr>
          <w:rFonts w:eastAsia="Times New Roman"/>
          <w:b/>
          <w:bCs/>
          <w:u w:val="single"/>
          <w:lang w:val="en-US"/>
        </w:rPr>
        <w:t>1</w:t>
      </w:r>
      <w:r>
        <w:rPr>
          <w:rFonts w:eastAsia="宋体"/>
          <w:lang w:val="en-US" w:eastAsia="zh-CN"/>
        </w:rPr>
        <w:t>:</w:t>
      </w:r>
      <w:r w:rsidR="00DB57AB">
        <w:rPr>
          <w:rFonts w:eastAsia="宋体"/>
          <w:lang w:val="en-US" w:eastAsia="zh-CN"/>
        </w:rPr>
        <w:t xml:space="preserve"> Ground truth is available at TE using conductive test in FR1 for AI/ML mobility</w:t>
      </w:r>
      <w:r>
        <w:t>.</w:t>
      </w:r>
    </w:p>
    <w:bookmarkEnd w:id="1"/>
    <w:bookmarkEnd w:id="2"/>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184A4B19" w14:textId="752FC5DC" w:rsidR="004B3F39" w:rsidRPr="004B3F39" w:rsidRDefault="004B3F39" w:rsidP="004B3F39">
      <w:pPr>
        <w:spacing w:after="0"/>
        <w:jc w:val="both"/>
        <w:rPr>
          <w:lang w:val="en-US"/>
        </w:rPr>
      </w:pPr>
      <w:r>
        <w:rPr>
          <w:rFonts w:eastAsia="Times New Roman"/>
          <w:b/>
          <w:bCs/>
          <w:u w:val="single"/>
          <w:lang w:val="en-US"/>
        </w:rPr>
        <w:t>Proposal 1</w:t>
      </w:r>
      <w:r>
        <w:rPr>
          <w:rFonts w:eastAsia="Times New Roman"/>
        </w:rPr>
        <w:t>:</w:t>
      </w:r>
      <w:r>
        <w:rPr>
          <w:rFonts w:eastAsia="宋体"/>
          <w:lang w:eastAsia="zh-CN"/>
        </w:rPr>
        <w:t xml:space="preserve"> F</w:t>
      </w:r>
      <w:r w:rsidRPr="006D07BA">
        <w:rPr>
          <w:rFonts w:eastAsia="宋体"/>
          <w:lang w:eastAsia="zh-CN"/>
        </w:rPr>
        <w:t>ocus on the testability issues in FR</w:t>
      </w:r>
      <w:r>
        <w:rPr>
          <w:rFonts w:eastAsia="宋体"/>
          <w:lang w:eastAsia="zh-CN"/>
        </w:rPr>
        <w:t xml:space="preserve">1. </w:t>
      </w:r>
      <w:r>
        <w:rPr>
          <w:rFonts w:eastAsia="宋体"/>
          <w:lang w:val="en-US" w:eastAsia="zh-CN"/>
        </w:rPr>
        <w:t>Check if there is any more testability issue for FR2 AI/ML mobility after RAN4 concluding the testability issues in “AI/ML for NR air interface”.</w:t>
      </w:r>
    </w:p>
    <w:p w14:paraId="6259D80D" w14:textId="44C68993" w:rsidR="004B3F39" w:rsidRPr="004B3F39" w:rsidRDefault="004B3F39" w:rsidP="004B3F39">
      <w:pPr>
        <w:spacing w:after="0"/>
        <w:jc w:val="both"/>
      </w:pPr>
      <w:r>
        <w:rPr>
          <w:rFonts w:eastAsia="Times New Roman"/>
          <w:b/>
          <w:bCs/>
          <w:u w:val="single"/>
          <w:lang w:val="en-US"/>
        </w:rPr>
        <w:t>Proposal 2</w:t>
      </w:r>
      <w:r>
        <w:rPr>
          <w:rFonts w:eastAsia="宋体"/>
          <w:lang w:val="en-US" w:eastAsia="zh-CN"/>
        </w:rPr>
        <w:t>: Use conductive test in FR1 for AI/ML mobility</w:t>
      </w:r>
      <w:r>
        <w:t>.</w:t>
      </w:r>
    </w:p>
    <w:p w14:paraId="2BC24E27" w14:textId="77777777" w:rsidR="004B3F39" w:rsidRDefault="004B3F39" w:rsidP="004B3F39">
      <w:pPr>
        <w:spacing w:after="0"/>
        <w:jc w:val="both"/>
      </w:pPr>
      <w:r>
        <w:rPr>
          <w:rFonts w:eastAsia="Times New Roman"/>
          <w:b/>
          <w:bCs/>
          <w:u w:val="single"/>
          <w:lang w:val="en-US"/>
        </w:rPr>
        <w:t>Observation 1</w:t>
      </w:r>
      <w:r>
        <w:rPr>
          <w:rFonts w:eastAsia="宋体"/>
          <w:lang w:val="en-US" w:eastAsia="zh-CN"/>
        </w:rPr>
        <w:t>: Ground truth is available at TE using conductive test in FR1 for AI/ML mobility</w:t>
      </w:r>
      <w:r>
        <w:t>.</w:t>
      </w:r>
    </w:p>
    <w:p w14:paraId="0C477E2E" w14:textId="2851B67F" w:rsidR="00FB7FEC" w:rsidRPr="004B3F39" w:rsidRDefault="00FB7FEC" w:rsidP="004928F3">
      <w:pPr>
        <w:rPr>
          <w:rFonts w:eastAsia="宋体"/>
          <w:lang w:eastAsia="zh-CN"/>
        </w:rPr>
      </w:pP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4ED7C0A" w:rsidR="008144E2" w:rsidRPr="004B3F39" w:rsidRDefault="004B3F39" w:rsidP="004B3F39">
      <w:pPr>
        <w:pStyle w:val="ListParagraph"/>
        <w:numPr>
          <w:ilvl w:val="0"/>
          <w:numId w:val="9"/>
        </w:numPr>
        <w:ind w:leftChars="0"/>
        <w:rPr>
          <w:rFonts w:ascii="Times" w:hAnsi="Times"/>
        </w:rPr>
      </w:pPr>
      <w:r w:rsidRPr="004B3F39">
        <w:rPr>
          <w:rFonts w:ascii="Times" w:hAnsi="Times"/>
        </w:rPr>
        <w:t>RP-242393, Revised SID on AIML for mobility in NR, OPPO (rapporteur), RAN#105, Melbourne, Australia, September 9-12, 2024.</w:t>
      </w:r>
    </w:p>
    <w:sectPr w:rsidR="008144E2" w:rsidRPr="004B3F39"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F92B3" w14:textId="77777777" w:rsidR="004A1B8A" w:rsidRDefault="004A1B8A" w:rsidP="000A231E">
      <w:pPr>
        <w:spacing w:after="0"/>
      </w:pPr>
      <w:r>
        <w:separator/>
      </w:r>
    </w:p>
  </w:endnote>
  <w:endnote w:type="continuationSeparator" w:id="0">
    <w:p w14:paraId="037D029B" w14:textId="77777777" w:rsidR="004A1B8A" w:rsidRDefault="004A1B8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F1A10" w14:textId="77777777" w:rsidR="004A1B8A" w:rsidRDefault="004A1B8A" w:rsidP="000A231E">
      <w:pPr>
        <w:spacing w:after="0"/>
      </w:pPr>
      <w:r>
        <w:separator/>
      </w:r>
    </w:p>
  </w:footnote>
  <w:footnote w:type="continuationSeparator" w:id="0">
    <w:p w14:paraId="310F9F98" w14:textId="77777777" w:rsidR="004A1B8A" w:rsidRDefault="004A1B8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5"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6"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5"/>
  </w:num>
  <w:num w:numId="2" w16cid:durableId="1909143653">
    <w:abstractNumId w:val="3"/>
  </w:num>
  <w:num w:numId="3" w16cid:durableId="588855413">
    <w:abstractNumId w:val="26"/>
  </w:num>
  <w:num w:numId="4" w16cid:durableId="1653095764">
    <w:abstractNumId w:val="24"/>
  </w:num>
  <w:num w:numId="5" w16cid:durableId="1253709200">
    <w:abstractNumId w:val="1"/>
  </w:num>
  <w:num w:numId="6" w16cid:durableId="421032269">
    <w:abstractNumId w:val="2"/>
  </w:num>
  <w:num w:numId="7" w16cid:durableId="352729932">
    <w:abstractNumId w:val="15"/>
  </w:num>
  <w:num w:numId="8" w16cid:durableId="892077125">
    <w:abstractNumId w:val="11"/>
  </w:num>
  <w:num w:numId="9" w16cid:durableId="78914589">
    <w:abstractNumId w:val="17"/>
  </w:num>
  <w:num w:numId="10" w16cid:durableId="1999645769">
    <w:abstractNumId w:val="16"/>
  </w:num>
  <w:num w:numId="11" w16cid:durableId="765611471">
    <w:abstractNumId w:val="18"/>
  </w:num>
  <w:num w:numId="12" w16cid:durableId="1523787238">
    <w:abstractNumId w:val="7"/>
  </w:num>
  <w:num w:numId="13" w16cid:durableId="1067916065">
    <w:abstractNumId w:val="10"/>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5"/>
  </w:num>
  <w:num w:numId="16" w16cid:durableId="916329024">
    <w:abstractNumId w:val="20"/>
  </w:num>
  <w:num w:numId="17" w16cid:durableId="296422803">
    <w:abstractNumId w:val="2"/>
  </w:num>
  <w:num w:numId="18" w16cid:durableId="1465806767">
    <w:abstractNumId w:val="25"/>
  </w:num>
  <w:num w:numId="19" w16cid:durableId="1840535745">
    <w:abstractNumId w:val="15"/>
  </w:num>
  <w:num w:numId="20" w16cid:durableId="1927573178">
    <w:abstractNumId w:val="6"/>
  </w:num>
  <w:num w:numId="21" w16cid:durableId="307437830">
    <w:abstractNumId w:val="13"/>
  </w:num>
  <w:num w:numId="22" w16cid:durableId="1980264928">
    <w:abstractNumId w:val="12"/>
  </w:num>
  <w:num w:numId="23" w16cid:durableId="1779789760">
    <w:abstractNumId w:val="23"/>
  </w:num>
  <w:num w:numId="24" w16cid:durableId="542061954">
    <w:abstractNumId w:val="4"/>
  </w:num>
  <w:num w:numId="25" w16cid:durableId="976035074">
    <w:abstractNumId w:val="13"/>
  </w:num>
  <w:num w:numId="26" w16cid:durableId="1561743249">
    <w:abstractNumId w:val="6"/>
  </w:num>
  <w:num w:numId="27" w16cid:durableId="1157261012">
    <w:abstractNumId w:val="12"/>
  </w:num>
  <w:num w:numId="28" w16cid:durableId="1047486547">
    <w:abstractNumId w:val="19"/>
  </w:num>
  <w:num w:numId="29" w16cid:durableId="702748924">
    <w:abstractNumId w:val="21"/>
  </w:num>
  <w:num w:numId="30" w16cid:durableId="1366059151">
    <w:abstractNumId w:val="8"/>
  </w:num>
  <w:num w:numId="31" w16cid:durableId="1914001663">
    <w:abstractNumId w:val="22"/>
  </w:num>
  <w:num w:numId="32" w16cid:durableId="22480451">
    <w:abstractNumId w:val="9"/>
  </w:num>
  <w:num w:numId="33" w16cid:durableId="503083973">
    <w:abstractNumId w:val="14"/>
  </w:num>
  <w:num w:numId="34" w16cid:durableId="138020186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FF8"/>
    <w:rsid w:val="002266B0"/>
    <w:rsid w:val="00231A1A"/>
    <w:rsid w:val="00231F20"/>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2482"/>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1B8A"/>
    <w:rsid w:val="004A24C0"/>
    <w:rsid w:val="004A2851"/>
    <w:rsid w:val="004A6E47"/>
    <w:rsid w:val="004A788E"/>
    <w:rsid w:val="004A78DC"/>
    <w:rsid w:val="004A79F5"/>
    <w:rsid w:val="004B324B"/>
    <w:rsid w:val="004B3F39"/>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189"/>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2D6"/>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17C"/>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EFA"/>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8A2"/>
    <w:rsid w:val="006C737C"/>
    <w:rsid w:val="006C77CC"/>
    <w:rsid w:val="006D0279"/>
    <w:rsid w:val="006D037C"/>
    <w:rsid w:val="006D03B1"/>
    <w:rsid w:val="006D07BA"/>
    <w:rsid w:val="006D0DD3"/>
    <w:rsid w:val="006D1542"/>
    <w:rsid w:val="006D19CC"/>
    <w:rsid w:val="006D2001"/>
    <w:rsid w:val="006D205A"/>
    <w:rsid w:val="006D22F0"/>
    <w:rsid w:val="006D2333"/>
    <w:rsid w:val="006D2CB7"/>
    <w:rsid w:val="006D392E"/>
    <w:rsid w:val="006D67D8"/>
    <w:rsid w:val="006E0337"/>
    <w:rsid w:val="006E13A6"/>
    <w:rsid w:val="006E14B1"/>
    <w:rsid w:val="006E19A0"/>
    <w:rsid w:val="006E1A00"/>
    <w:rsid w:val="006E2C90"/>
    <w:rsid w:val="006E4563"/>
    <w:rsid w:val="006E46D2"/>
    <w:rsid w:val="006E47EA"/>
    <w:rsid w:val="006E669C"/>
    <w:rsid w:val="006E6DE6"/>
    <w:rsid w:val="006F06C7"/>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37A"/>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1DA"/>
    <w:rsid w:val="00B002AD"/>
    <w:rsid w:val="00B01325"/>
    <w:rsid w:val="00B01F4C"/>
    <w:rsid w:val="00B03153"/>
    <w:rsid w:val="00B04D3D"/>
    <w:rsid w:val="00B052B1"/>
    <w:rsid w:val="00B062EF"/>
    <w:rsid w:val="00B067FC"/>
    <w:rsid w:val="00B125F1"/>
    <w:rsid w:val="00B12AFC"/>
    <w:rsid w:val="00B16D75"/>
    <w:rsid w:val="00B20201"/>
    <w:rsid w:val="00B2048C"/>
    <w:rsid w:val="00B21DC1"/>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3D8E"/>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6B2"/>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40A"/>
    <w:rsid w:val="00C37DCD"/>
    <w:rsid w:val="00C37DD7"/>
    <w:rsid w:val="00C41262"/>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1CE6"/>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4AB1"/>
    <w:rsid w:val="00D15859"/>
    <w:rsid w:val="00D222D7"/>
    <w:rsid w:val="00D25E1A"/>
    <w:rsid w:val="00D26C0A"/>
    <w:rsid w:val="00D27171"/>
    <w:rsid w:val="00D27A1A"/>
    <w:rsid w:val="00D30B89"/>
    <w:rsid w:val="00D31A8B"/>
    <w:rsid w:val="00D35160"/>
    <w:rsid w:val="00D359CD"/>
    <w:rsid w:val="00D36277"/>
    <w:rsid w:val="00D42F3D"/>
    <w:rsid w:val="00D42FC2"/>
    <w:rsid w:val="00D43817"/>
    <w:rsid w:val="00D443CE"/>
    <w:rsid w:val="00D44759"/>
    <w:rsid w:val="00D472FC"/>
    <w:rsid w:val="00D508DF"/>
    <w:rsid w:val="00D5234A"/>
    <w:rsid w:val="00D5247E"/>
    <w:rsid w:val="00D537F6"/>
    <w:rsid w:val="00D55DEC"/>
    <w:rsid w:val="00D55E90"/>
    <w:rsid w:val="00D56195"/>
    <w:rsid w:val="00D56AAB"/>
    <w:rsid w:val="00D57626"/>
    <w:rsid w:val="00D60E75"/>
    <w:rsid w:val="00D62000"/>
    <w:rsid w:val="00D62015"/>
    <w:rsid w:val="00D624C3"/>
    <w:rsid w:val="00D647C9"/>
    <w:rsid w:val="00D64FB2"/>
    <w:rsid w:val="00D679A2"/>
    <w:rsid w:val="00D67A74"/>
    <w:rsid w:val="00D67F1E"/>
    <w:rsid w:val="00D70B47"/>
    <w:rsid w:val="00D71CA7"/>
    <w:rsid w:val="00D728B8"/>
    <w:rsid w:val="00D73095"/>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7AB"/>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4104"/>
    <w:rsid w:val="00DF7007"/>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70CE"/>
    <w:rsid w:val="00E81889"/>
    <w:rsid w:val="00E81902"/>
    <w:rsid w:val="00E82CB9"/>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3C13"/>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F3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15</cp:revision>
  <dcterms:created xsi:type="dcterms:W3CDTF">2024-09-24T00:53:00Z</dcterms:created>
  <dcterms:modified xsi:type="dcterms:W3CDTF">2024-09-27T12:04:00Z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